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B202" w14:textId="5D84AF42" w:rsidR="00C263FB" w:rsidRPr="00F72C41" w:rsidRDefault="00987714" w:rsidP="00F72C41">
      <w:pPr>
        <w:spacing w:after="0"/>
        <w:jc w:val="center"/>
        <w:rPr>
          <w:b/>
          <w:bCs/>
        </w:rPr>
      </w:pPr>
      <w:r w:rsidRPr="00F72C41">
        <w:rPr>
          <w:b/>
          <w:bCs/>
        </w:rPr>
        <w:t>UMOWA O UDOSTĘPNIENIU INFRASTRUKTURY KOLEJOWEJ BOCZNICY INTERGAS</w:t>
      </w:r>
    </w:p>
    <w:p w14:paraId="4644668B" w14:textId="607B6993" w:rsidR="00987714" w:rsidRDefault="00DC7349" w:rsidP="00F72C41">
      <w:pPr>
        <w:spacing w:after="0"/>
        <w:jc w:val="center"/>
      </w:pPr>
      <w:r>
        <w:t>Świadectwo bezpieczeństwa Urzędu Transportu Kolejowego 109/UK/15</w:t>
      </w:r>
    </w:p>
    <w:p w14:paraId="70A34B0F" w14:textId="77777777" w:rsidR="0091252D" w:rsidRDefault="0091252D"/>
    <w:p w14:paraId="3DD54244" w14:textId="714EA1D5" w:rsidR="00987714" w:rsidRDefault="00987714">
      <w:r>
        <w:t>Zawarta w dniu …………………………………………………………..</w:t>
      </w:r>
    </w:p>
    <w:p w14:paraId="31C2CFC6" w14:textId="70DA7CFF" w:rsidR="00987714" w:rsidRDefault="00F72C41">
      <w:r>
        <w:t>p</w:t>
      </w:r>
      <w:r w:rsidR="00987714">
        <w:t>omiędzy:</w:t>
      </w:r>
    </w:p>
    <w:p w14:paraId="754A281E" w14:textId="2CB36A1E" w:rsidR="00987714" w:rsidRDefault="00987714">
      <w:r>
        <w:t xml:space="preserve">Intergas sp. z o.o. </w:t>
      </w:r>
      <w:r w:rsidR="00DC7349">
        <w:t>w Szczecinie (70-850 Szczecin, ul. Tczewska 32) reprezentowana przez Marcina Majewskiego członka zarządu, zwana dalej Zarządcą bocznicy</w:t>
      </w:r>
    </w:p>
    <w:p w14:paraId="79FAC382" w14:textId="294C301F" w:rsidR="00DC7349" w:rsidRDefault="00DC7349">
      <w:r>
        <w:t>a</w:t>
      </w:r>
    </w:p>
    <w:p w14:paraId="5A1ED10F" w14:textId="08FA2C24" w:rsidR="00DC7349" w:rsidRDefault="00DC7349">
      <w:r>
        <w:t>……………………………………………………………………………………………………………. – zwanym dalej Aplikantem</w:t>
      </w:r>
    </w:p>
    <w:p w14:paraId="220AB10D" w14:textId="007C0AF8" w:rsidR="00DC7349" w:rsidRDefault="00DC7349" w:rsidP="00F72C41">
      <w:pPr>
        <w:jc w:val="both"/>
      </w:pPr>
      <w:r>
        <w:t>Przedmiotem umowy jest udostępnienie infrastruktury kolejowej</w:t>
      </w:r>
      <w:r w:rsidR="00051F67">
        <w:t xml:space="preserve"> i opłaty za korzystanie z infrastruktury kolejowej oraz udostępnianie obiektu infrastruktury usługowej na podstawie  rozdziałów 6-6b ustawy o transporcie kolejowym (Dz. U. 2003 Nr 86 poz. 789</w:t>
      </w:r>
      <w:r w:rsidR="00F72C41">
        <w:t xml:space="preserve"> </w:t>
      </w:r>
      <w:r w:rsidR="00051F67">
        <w:t xml:space="preserve"> U S T AWA z dnia 28 marca 2003 r. o transporcie kolejowym).</w:t>
      </w:r>
    </w:p>
    <w:p w14:paraId="464E7178" w14:textId="393BBCE6" w:rsidR="002B001A" w:rsidRDefault="002B001A" w:rsidP="00F72C41">
      <w:pPr>
        <w:pStyle w:val="Akapitzlist"/>
        <w:numPr>
          <w:ilvl w:val="0"/>
          <w:numId w:val="1"/>
        </w:numPr>
        <w:jc w:val="both"/>
      </w:pPr>
      <w:r>
        <w:t xml:space="preserve">Zarządca bocznicy niezwłocznie rozpatruje </w:t>
      </w:r>
      <w:r w:rsidRPr="002B001A">
        <w:rPr>
          <w:b/>
          <w:bCs/>
          <w:i/>
          <w:iCs/>
        </w:rPr>
        <w:t>wniosek</w:t>
      </w:r>
      <w:r>
        <w:t xml:space="preserve"> Aplikanta o udostępnieniu obiektu kolejowego i o przydzielenie zdolności przepustowej.</w:t>
      </w:r>
    </w:p>
    <w:p w14:paraId="353E9A32" w14:textId="77777777" w:rsidR="002B001A" w:rsidRPr="002B001A" w:rsidRDefault="00051F67" w:rsidP="00F72C41">
      <w:pPr>
        <w:pStyle w:val="Akapitzlist"/>
        <w:numPr>
          <w:ilvl w:val="0"/>
          <w:numId w:val="1"/>
        </w:numPr>
        <w:jc w:val="both"/>
      </w:pPr>
      <w:r>
        <w:t>Na podstawie wniosku Aplikanta Zarządca bocznicy przydziela zdolność przepustową</w:t>
      </w:r>
      <w:r w:rsidR="004E03D2">
        <w:t xml:space="preserve"> pod warunkami opisanymi w </w:t>
      </w:r>
      <w:r w:rsidR="002B001A" w:rsidRPr="002B001A">
        <w:rPr>
          <w:b/>
          <w:bCs/>
          <w:i/>
          <w:iCs/>
        </w:rPr>
        <w:t>P</w:t>
      </w:r>
      <w:r w:rsidR="004E03D2" w:rsidRPr="002B001A">
        <w:rPr>
          <w:b/>
          <w:bCs/>
          <w:i/>
          <w:iCs/>
        </w:rPr>
        <w:t xml:space="preserve">otwierdzeniu </w:t>
      </w:r>
      <w:r w:rsidR="002B001A" w:rsidRPr="002B001A">
        <w:rPr>
          <w:b/>
          <w:bCs/>
          <w:i/>
          <w:iCs/>
        </w:rPr>
        <w:t>udostępnienia obiektu kolejowego</w:t>
      </w:r>
      <w:r w:rsidR="002B001A">
        <w:rPr>
          <w:b/>
          <w:bCs/>
          <w:i/>
          <w:iCs/>
        </w:rPr>
        <w:t>.</w:t>
      </w:r>
    </w:p>
    <w:p w14:paraId="6901BFD8" w14:textId="2BBD9359" w:rsidR="00051F67" w:rsidRDefault="002B001A" w:rsidP="00F72C41">
      <w:pPr>
        <w:pStyle w:val="Akapitzlist"/>
        <w:numPr>
          <w:ilvl w:val="0"/>
          <w:numId w:val="1"/>
        </w:numPr>
        <w:jc w:val="both"/>
      </w:pPr>
      <w:r>
        <w:t xml:space="preserve"> Zarządca bocznicy o</w:t>
      </w:r>
      <w:r w:rsidR="004E03D2">
        <w:t>kreśl</w:t>
      </w:r>
      <w:r>
        <w:t>a</w:t>
      </w:r>
      <w:r w:rsidR="004E03D2">
        <w:t xml:space="preserve">  przedział czasu zarezerwowanego dla Aplikanta w celu umożliwienia przejazdu  i dla wykonania manewrów. Określenie w/w parametrów odbywa się każdorazowo w zatwierdzeniu </w:t>
      </w:r>
      <w:r w:rsidRPr="002B001A">
        <w:rPr>
          <w:b/>
          <w:bCs/>
          <w:i/>
          <w:iCs/>
        </w:rPr>
        <w:t>A</w:t>
      </w:r>
      <w:r w:rsidR="004E03D2" w:rsidRPr="002B001A">
        <w:rPr>
          <w:b/>
          <w:bCs/>
          <w:i/>
          <w:iCs/>
        </w:rPr>
        <w:t>wizacji</w:t>
      </w:r>
      <w:r w:rsidR="004E03D2">
        <w:t xml:space="preserve"> (opisanej w regulaminie obiektu kolejowego) składanej </w:t>
      </w:r>
      <w:r>
        <w:t xml:space="preserve">przez Aplikanta </w:t>
      </w:r>
      <w:r w:rsidR="004E03D2">
        <w:t>z odpowiednim wyprzedzeniem.</w:t>
      </w:r>
    </w:p>
    <w:p w14:paraId="110F0560" w14:textId="6D2B6417" w:rsidR="004E03D2" w:rsidRDefault="007B4940" w:rsidP="00F72C41">
      <w:pPr>
        <w:pStyle w:val="Akapitzlist"/>
        <w:numPr>
          <w:ilvl w:val="0"/>
          <w:numId w:val="1"/>
        </w:numPr>
        <w:jc w:val="both"/>
      </w:pPr>
      <w:r w:rsidRPr="0091252D">
        <w:rPr>
          <w:b/>
          <w:bCs/>
          <w:i/>
          <w:iCs/>
        </w:rPr>
        <w:t>Potwierdzenie Awizacji</w:t>
      </w:r>
      <w:r>
        <w:t xml:space="preserve"> jest umożliwieniem wykorzystania przydzielonej zdolności przepustowej przez przewoźnika kolejowego  wskazanego przez Aplikanta</w:t>
      </w:r>
    </w:p>
    <w:p w14:paraId="34ABB34B" w14:textId="5DBF2015" w:rsidR="007B4940" w:rsidRDefault="007B4940" w:rsidP="00F72C41">
      <w:pPr>
        <w:pStyle w:val="Akapitzlist"/>
        <w:numPr>
          <w:ilvl w:val="0"/>
          <w:numId w:val="1"/>
        </w:numPr>
        <w:jc w:val="both"/>
      </w:pPr>
      <w:r>
        <w:t>Jeżeli Aplikant wskazuje w awizacji konieczność wykorzystania przez przewoźnika pozostałych usług to w potwierdzenie awizacji umożliwia korzystanie z tych usług na podstawie warunków opisanych w tym potwierdzeniu.</w:t>
      </w:r>
    </w:p>
    <w:p w14:paraId="083EAAB6" w14:textId="62EC6D28" w:rsidR="0091252D" w:rsidRDefault="0091252D" w:rsidP="00F72C41">
      <w:pPr>
        <w:pStyle w:val="Akapitzlist"/>
        <w:numPr>
          <w:ilvl w:val="0"/>
          <w:numId w:val="1"/>
        </w:numPr>
        <w:jc w:val="both"/>
      </w:pPr>
      <w:r>
        <w:t xml:space="preserve">Strony ustalają w umowie handlowej wartość opłat, które nie będą wyższe niż opisane w cenniku opublikowanym na stronie internetowej Zarządcy bocznicy </w:t>
      </w:r>
      <w:r w:rsidR="00796D4E">
        <w:t xml:space="preserve">Intergas sp. z o.o. </w:t>
      </w:r>
      <w:hyperlink r:id="rId5" w:history="1">
        <w:r w:rsidR="00796D4E" w:rsidRPr="00F014A9">
          <w:rPr>
            <w:rStyle w:val="Hipercze"/>
          </w:rPr>
          <w:t>www.intergas.com.pl</w:t>
        </w:r>
      </w:hyperlink>
      <w:r w:rsidR="00796D4E">
        <w:t xml:space="preserve"> </w:t>
      </w:r>
      <w:r>
        <w:t>).</w:t>
      </w:r>
    </w:p>
    <w:p w14:paraId="69789BFC" w14:textId="155320A4" w:rsidR="00F72C41" w:rsidRDefault="00F72C41" w:rsidP="00F72C41">
      <w:pPr>
        <w:pStyle w:val="Akapitzlist"/>
        <w:numPr>
          <w:ilvl w:val="0"/>
          <w:numId w:val="1"/>
        </w:numPr>
        <w:jc w:val="both"/>
      </w:pPr>
      <w:r>
        <w:t>Strony są zobowiązane do przestrzegania:</w:t>
      </w:r>
    </w:p>
    <w:p w14:paraId="73003316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Statut sieci z 2017 roku z aneksem z 2018 roku;</w:t>
      </w:r>
    </w:p>
    <w:p w14:paraId="69B4BF1D" w14:textId="4D3B89A1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Regulamin obiektu z 2017 roku z aneksem z 2018 roku;</w:t>
      </w:r>
    </w:p>
    <w:p w14:paraId="56149992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Regulamin pracy bocznicy kolejowej z 2020 roku;</w:t>
      </w:r>
    </w:p>
    <w:p w14:paraId="6F544E4D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Instrukcja pracy manewrowej i sygnalizacji z 2020 roku;</w:t>
      </w:r>
    </w:p>
    <w:p w14:paraId="104CDF21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Warunki techniczne oraz zasady i wymagania dotyczące utrzymania drogi kolejowej z 2020 roku;</w:t>
      </w:r>
    </w:p>
    <w:p w14:paraId="7018B1E7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Instrukcja postępowania w sprawie poważnych wypadków, wypadków i incydentów w transporcie kolejowym z 2020 roku</w:t>
      </w:r>
    </w:p>
    <w:p w14:paraId="7E6DDE9B" w14:textId="77777777" w:rsidR="00F72C41" w:rsidRDefault="00F72C41" w:rsidP="00F72C41">
      <w:pPr>
        <w:pStyle w:val="Akapitzlist"/>
        <w:numPr>
          <w:ilvl w:val="1"/>
          <w:numId w:val="1"/>
        </w:numPr>
        <w:jc w:val="both"/>
      </w:pPr>
      <w:r>
        <w:t>Instrukcja utrzymania mechanicznych kluczowych  urządzeń sterowania ruchem kolejowym,,</w:t>
      </w:r>
    </w:p>
    <w:p w14:paraId="3117FAC3" w14:textId="519F568E" w:rsidR="00F72C41" w:rsidRDefault="00F72C41" w:rsidP="00144BF5">
      <w:pPr>
        <w:pStyle w:val="Akapitzlist"/>
        <w:ind w:left="1440"/>
        <w:jc w:val="both"/>
      </w:pPr>
      <w:r>
        <w:t>które to dokumenty są do wglądu i skopiowania w siedzibie firmy Intergas i zapisów w nich zawartych przedsiębiorstwo kolejowe zobowiązuje się przestrzegać.</w:t>
      </w:r>
    </w:p>
    <w:p w14:paraId="02EF229E" w14:textId="2FCD976C" w:rsidR="00F72C41" w:rsidRDefault="0091252D" w:rsidP="00F72C41">
      <w:pPr>
        <w:pStyle w:val="Akapitzlist"/>
        <w:numPr>
          <w:ilvl w:val="0"/>
          <w:numId w:val="1"/>
        </w:numPr>
        <w:jc w:val="both"/>
      </w:pPr>
      <w:r>
        <w:t>Umowa jest zawarta na czas nieokreślony.</w:t>
      </w:r>
    </w:p>
    <w:p w14:paraId="27561268" w14:textId="77777777" w:rsidR="00F72C41" w:rsidRDefault="00F72C41" w:rsidP="00F72C41">
      <w:pPr>
        <w:pStyle w:val="Akapitzlist"/>
        <w:jc w:val="both"/>
      </w:pPr>
    </w:p>
    <w:p w14:paraId="7D36C892" w14:textId="215A7C0F" w:rsidR="00F72C41" w:rsidRDefault="00F72C41" w:rsidP="00F72C41">
      <w:pPr>
        <w:pStyle w:val="Akapitzlist"/>
        <w:jc w:val="both"/>
      </w:pPr>
      <w:r>
        <w:t>Podpisano:</w:t>
      </w:r>
    </w:p>
    <w:sectPr w:rsidR="00F72C41" w:rsidSect="00F72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11EC"/>
    <w:multiLevelType w:val="hybridMultilevel"/>
    <w:tmpl w:val="11343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14"/>
    <w:rsid w:val="00051F67"/>
    <w:rsid w:val="00144BF5"/>
    <w:rsid w:val="002B001A"/>
    <w:rsid w:val="004E03D2"/>
    <w:rsid w:val="00796D4E"/>
    <w:rsid w:val="007B4940"/>
    <w:rsid w:val="0091252D"/>
    <w:rsid w:val="00987714"/>
    <w:rsid w:val="00C263FB"/>
    <w:rsid w:val="00DC1E95"/>
    <w:rsid w:val="00DC7349"/>
    <w:rsid w:val="00EC27A1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5540"/>
  <w15:chartTrackingRefBased/>
  <w15:docId w15:val="{A544C91C-68F7-41B8-8111-015577A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F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5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ga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Majewski</dc:creator>
  <cp:keywords/>
  <dc:description/>
  <cp:lastModifiedBy>Marcin Majewski</cp:lastModifiedBy>
  <cp:revision>3</cp:revision>
  <cp:lastPrinted>2021-12-15T09:27:00Z</cp:lastPrinted>
  <dcterms:created xsi:type="dcterms:W3CDTF">2021-12-15T08:45:00Z</dcterms:created>
  <dcterms:modified xsi:type="dcterms:W3CDTF">2022-02-18T11:50:00Z</dcterms:modified>
</cp:coreProperties>
</file>